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316C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D316CF">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D316CF">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D316CF">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D316CF">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D316CF">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D316CF">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D316CF">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D316CF">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D316C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D316C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D316C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D316C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D316C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D316C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D316C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D316C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5B95072B"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w:t>
      </w:r>
      <w:r w:rsidR="00811A3B">
        <w:rPr>
          <w:rFonts w:cs="Calibri"/>
        </w:rPr>
        <w:t>4</w:t>
      </w:r>
      <w:r>
        <w:rPr>
          <w:rFonts w:cs="Calibri"/>
        </w:rPr>
        <w:t>, por la cantidad de $</w:t>
      </w:r>
      <w:r w:rsidRPr="009E2019">
        <w:t xml:space="preserve"> </w:t>
      </w:r>
      <w:r w:rsidRPr="009E2019">
        <w:rPr>
          <w:rFonts w:cs="Calibri"/>
        </w:rPr>
        <w:t>17,</w:t>
      </w:r>
      <w:r w:rsidR="00811A3B">
        <w:rPr>
          <w:rFonts w:cs="Calibri"/>
        </w:rPr>
        <w:t>68</w:t>
      </w:r>
      <w:r w:rsidRPr="009E2019">
        <w:rPr>
          <w:rFonts w:cs="Calibri"/>
        </w:rPr>
        <w:t>5,</w:t>
      </w:r>
      <w:r w:rsidR="00811A3B">
        <w:rPr>
          <w:rFonts w:cs="Calibri"/>
        </w:rPr>
        <w:t>5</w:t>
      </w:r>
      <w:r w:rsidRPr="009E2019">
        <w:rPr>
          <w:rFonts w:cs="Calibri"/>
        </w:rPr>
        <w:t>6</w:t>
      </w:r>
      <w:r w:rsidR="00811A3B">
        <w:rPr>
          <w:rFonts w:cs="Calibri"/>
        </w:rPr>
        <w:t>5</w:t>
      </w:r>
      <w:r w:rsidRPr="009E2019">
        <w:rPr>
          <w:rFonts w:cs="Calibri"/>
        </w:rPr>
        <w:t>.</w:t>
      </w:r>
      <w:r w:rsidR="00811A3B">
        <w:rPr>
          <w:rFonts w:cs="Calibri"/>
        </w:rPr>
        <w:t>4</w:t>
      </w:r>
      <w:r w:rsidRPr="009E2019">
        <w:rPr>
          <w:rFonts w:cs="Calibri"/>
        </w:rPr>
        <w:t>9</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79145FA1"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E30D47">
        <w:rPr>
          <w:rFonts w:cs="Calibri"/>
        </w:rPr>
        <w:t>4</w:t>
      </w:r>
      <w:r w:rsidR="009E2019" w:rsidRPr="00F33708">
        <w:rPr>
          <w:rFonts w:cs="Calibri"/>
        </w:rPr>
        <w:t xml:space="preserve">, reportándose el </w:t>
      </w:r>
      <w:r w:rsidRPr="00F33708">
        <w:rPr>
          <w:rFonts w:cs="Calibri"/>
        </w:rPr>
        <w:t>periodo del 01 de enero al 3</w:t>
      </w:r>
      <w:r w:rsidR="006071BE">
        <w:rPr>
          <w:rFonts w:cs="Calibri"/>
        </w:rPr>
        <w:t>0</w:t>
      </w:r>
      <w:r w:rsidR="00EB5015">
        <w:rPr>
          <w:rFonts w:cs="Calibri"/>
        </w:rPr>
        <w:t xml:space="preserve"> de </w:t>
      </w:r>
      <w:r w:rsidR="006071BE">
        <w:rPr>
          <w:rFonts w:cs="Calibri"/>
        </w:rPr>
        <w:t>juni</w:t>
      </w:r>
      <w:r w:rsidR="00E30D47">
        <w:rPr>
          <w:rFonts w:cs="Calibri"/>
        </w:rPr>
        <w:t>o</w:t>
      </w:r>
      <w:r w:rsidR="00EB5015">
        <w:rPr>
          <w:rFonts w:cs="Calibri"/>
        </w:rPr>
        <w:t xml:space="preserve"> de 202</w:t>
      </w:r>
      <w:r w:rsidR="00E30D47">
        <w:rPr>
          <w:rFonts w:cs="Calibri"/>
        </w:rPr>
        <w:t>4</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5EED8A60"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047C7D">
        <w:rPr>
          <w:rFonts w:cs="Calibri"/>
        </w:rPr>
        <w:t>4</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65BE482C"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AA74B7">
        <w:rPr>
          <w:rFonts w:cs="Calibri"/>
        </w:rPr>
        <w:t>4</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47B6029E"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1249F2">
        <w:rPr>
          <w:rFonts w:cs="Calibri"/>
        </w:rPr>
        <w:t>4</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1186BE85"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1249F2">
        <w:rPr>
          <w:rFonts w:cs="Calibri"/>
        </w:rPr>
        <w:t>4</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5C7110C1"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B42CE1">
        <w:rPr>
          <w:rFonts w:cs="Calibri"/>
        </w:rPr>
        <w:t>4</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0BFDA89F"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A15D4F">
        <w:rPr>
          <w:rFonts w:cs="Calibri"/>
        </w:rPr>
        <w:t>4</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2629CA2C"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2430F2">
        <w:rPr>
          <w:rFonts w:cs="Calibri"/>
        </w:rPr>
        <w:t>4</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1A3A9458"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403E2A">
        <w:t>4</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62D336FF"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2B39D8">
        <w:t>4</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CB36C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54CF6B" w14:textId="77777777" w:rsidR="00C95696" w:rsidRDefault="00C95696" w:rsidP="00CB41C4">
      <w:pPr>
        <w:tabs>
          <w:tab w:val="left" w:leader="underscore" w:pos="9639"/>
        </w:tabs>
        <w:spacing w:after="0" w:line="240" w:lineRule="auto"/>
        <w:jc w:val="both"/>
        <w:rPr>
          <w:rFonts w:cs="Calibri"/>
        </w:rPr>
      </w:pPr>
    </w:p>
    <w:p w14:paraId="6C5196EE" w14:textId="5D445730" w:rsidR="004E2B2B" w:rsidRPr="00E74967" w:rsidRDefault="00454C15" w:rsidP="00CB41C4">
      <w:pPr>
        <w:tabs>
          <w:tab w:val="left" w:leader="underscore" w:pos="9639"/>
        </w:tabs>
        <w:spacing w:after="0" w:line="240" w:lineRule="auto"/>
        <w:jc w:val="both"/>
        <w:rPr>
          <w:rFonts w:cs="Calibri"/>
        </w:rPr>
      </w:pPr>
      <w:r w:rsidRPr="00454C15">
        <w:drawing>
          <wp:inline distT="0" distB="0" distL="0" distR="0" wp14:anchorId="7DD671FE" wp14:editId="1B1509B3">
            <wp:extent cx="6151880" cy="1637244"/>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637244"/>
                    </a:xfrm>
                    <a:prstGeom prst="rect">
                      <a:avLst/>
                    </a:prstGeom>
                    <a:noFill/>
                    <a:ln>
                      <a:noFill/>
                    </a:ln>
                  </pic:spPr>
                </pic:pic>
              </a:graphicData>
            </a:graphic>
          </wp:inline>
        </w:drawing>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603904B6"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985EA3">
        <w:t>0</w:t>
      </w:r>
      <w:r w:rsidR="00231B0F">
        <w:t xml:space="preserve"> de </w:t>
      </w:r>
      <w:r w:rsidR="00985EA3">
        <w:t>juni</w:t>
      </w:r>
      <w:r w:rsidR="002B39D8">
        <w:t>o</w:t>
      </w:r>
      <w:r w:rsidR="00231B0F">
        <w:t xml:space="preserve"> de 202</w:t>
      </w:r>
      <w:r w:rsidR="002B39D8">
        <w:t>4</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w:t>
      </w:r>
      <w:bookmarkStart w:id="12" w:name="_GoBack"/>
      <w:bookmarkEnd w:id="12"/>
      <w:r w:rsidR="005E231E" w:rsidRPr="000C3365">
        <w:rPr>
          <w:rFonts w:asciiTheme="minorHAnsi" w:hAnsiTheme="minorHAnsi" w:cstheme="minorHAnsi"/>
          <w:b/>
          <w:color w:val="auto"/>
          <w:sz w:val="22"/>
        </w:rPr>
        <w:t>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3"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3"/>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4" w:name="_Toc508279633"/>
      <w:r w:rsidRPr="000C3365">
        <w:rPr>
          <w:rFonts w:asciiTheme="minorHAnsi" w:hAnsiTheme="minorHAnsi" w:cstheme="minorHAnsi"/>
          <w:b/>
          <w:color w:val="auto"/>
          <w:sz w:val="22"/>
        </w:rPr>
        <w:t>13. Proceso de Mejora:</w:t>
      </w:r>
      <w:bookmarkEnd w:id="14"/>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60FC785A"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3972C3">
        <w:rPr>
          <w:rFonts w:cs="Calibri"/>
        </w:rPr>
        <w:t>4</w:t>
      </w:r>
      <w:r>
        <w:rPr>
          <w:rFonts w:cs="Calibri"/>
        </w:rPr>
        <w:t>,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5"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5"/>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6"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6"/>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8"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888594A" w14:textId="77777777" w:rsidR="004E2B2B" w:rsidRDefault="004E2B2B" w:rsidP="00CB41C4">
      <w:pPr>
        <w:tabs>
          <w:tab w:val="left" w:leader="underscore" w:pos="9639"/>
        </w:tabs>
        <w:spacing w:after="0" w:line="240" w:lineRule="auto"/>
        <w:jc w:val="both"/>
        <w:rPr>
          <w:rFonts w:cs="Calibri"/>
        </w:rPr>
      </w:pPr>
    </w:p>
    <w:p w14:paraId="7CF7F407" w14:textId="77777777" w:rsidR="004E2B2B" w:rsidRDefault="004E2B2B" w:rsidP="004E2B2B">
      <w:pPr>
        <w:tabs>
          <w:tab w:val="left" w:leader="underscore" w:pos="9639"/>
        </w:tabs>
        <w:spacing w:after="0" w:line="240" w:lineRule="auto"/>
        <w:jc w:val="both"/>
        <w:rPr>
          <w:rFonts w:cs="Calibri"/>
        </w:rPr>
      </w:pPr>
    </w:p>
    <w:p w14:paraId="4F59AC40" w14:textId="77777777" w:rsidR="004E2B2B" w:rsidRDefault="004E2B2B" w:rsidP="004E2B2B">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4E2B2B" w14:paraId="41F4B48A" w14:textId="77777777" w:rsidTr="001C41FF">
        <w:tc>
          <w:tcPr>
            <w:tcW w:w="4390" w:type="dxa"/>
          </w:tcPr>
          <w:p w14:paraId="3E31E8E5"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Lic. German Barroso Moreno</w:t>
            </w:r>
          </w:p>
          <w:p w14:paraId="1BC06446" w14:textId="77777777" w:rsidR="004E2B2B" w:rsidRDefault="004E2B2B" w:rsidP="001C41FF">
            <w:pPr>
              <w:tabs>
                <w:tab w:val="left" w:leader="underscore" w:pos="9639"/>
              </w:tabs>
              <w:spacing w:after="0" w:line="240" w:lineRule="auto"/>
              <w:jc w:val="center"/>
              <w:rPr>
                <w:rFonts w:cs="Calibri"/>
              </w:rPr>
            </w:pPr>
            <w:r>
              <w:rPr>
                <w:rFonts w:cs="Calibri"/>
              </w:rPr>
              <w:t>Director General del SMDIF</w:t>
            </w:r>
          </w:p>
        </w:tc>
        <w:tc>
          <w:tcPr>
            <w:tcW w:w="1134" w:type="dxa"/>
          </w:tcPr>
          <w:p w14:paraId="3ED3850E" w14:textId="77777777" w:rsidR="004E2B2B" w:rsidRDefault="004E2B2B" w:rsidP="001C41FF">
            <w:pPr>
              <w:tabs>
                <w:tab w:val="left" w:leader="underscore" w:pos="9639"/>
              </w:tabs>
              <w:spacing w:after="0" w:line="240" w:lineRule="auto"/>
              <w:jc w:val="both"/>
              <w:rPr>
                <w:rFonts w:cs="Calibri"/>
              </w:rPr>
            </w:pPr>
          </w:p>
        </w:tc>
        <w:tc>
          <w:tcPr>
            <w:tcW w:w="4154" w:type="dxa"/>
          </w:tcPr>
          <w:p w14:paraId="53A449B2" w14:textId="434D5B6F" w:rsidR="004E2B2B" w:rsidRPr="00BC6EFE" w:rsidRDefault="000F3BC4" w:rsidP="001C41FF">
            <w:pPr>
              <w:tabs>
                <w:tab w:val="left" w:leader="underscore" w:pos="9639"/>
              </w:tabs>
              <w:spacing w:after="0" w:line="240" w:lineRule="auto"/>
              <w:jc w:val="center"/>
              <w:rPr>
                <w:rFonts w:cs="Calibri"/>
                <w:b/>
              </w:rPr>
            </w:pPr>
            <w:r>
              <w:rPr>
                <w:rFonts w:cs="Calibri"/>
                <w:b/>
              </w:rPr>
              <w:t>Ing</w:t>
            </w:r>
            <w:r w:rsidR="004E2B2B" w:rsidRPr="00BC6EFE">
              <w:rPr>
                <w:rFonts w:cs="Calibri"/>
                <w:b/>
              </w:rPr>
              <w:t xml:space="preserve">. </w:t>
            </w:r>
            <w:r>
              <w:rPr>
                <w:rFonts w:cs="Calibri"/>
                <w:b/>
              </w:rPr>
              <w:t>Iván Faustino Narváez Cervantes</w:t>
            </w:r>
          </w:p>
          <w:p w14:paraId="60AC02CF" w14:textId="11675CF8" w:rsidR="004E2B2B" w:rsidRDefault="004E2B2B" w:rsidP="000F3BC4">
            <w:pPr>
              <w:tabs>
                <w:tab w:val="left" w:leader="underscore" w:pos="9639"/>
              </w:tabs>
              <w:spacing w:after="0" w:line="240" w:lineRule="auto"/>
              <w:jc w:val="center"/>
              <w:rPr>
                <w:rFonts w:cs="Calibri"/>
              </w:rPr>
            </w:pPr>
            <w:r>
              <w:rPr>
                <w:rFonts w:cs="Calibri"/>
              </w:rPr>
              <w:t>Administrador General del SMDIF</w:t>
            </w:r>
          </w:p>
        </w:tc>
      </w:tr>
    </w:tbl>
    <w:p w14:paraId="74D16815" w14:textId="52F66808" w:rsidR="00D5018E" w:rsidRPr="00E74967" w:rsidRDefault="00D5018E" w:rsidP="004E2B2B">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43C78" w14:textId="77777777" w:rsidR="00D316CF" w:rsidRDefault="00D316CF" w:rsidP="00E00323">
      <w:pPr>
        <w:spacing w:after="0" w:line="240" w:lineRule="auto"/>
      </w:pPr>
      <w:r>
        <w:separator/>
      </w:r>
    </w:p>
  </w:endnote>
  <w:endnote w:type="continuationSeparator" w:id="0">
    <w:p w14:paraId="7E8C75DB" w14:textId="77777777" w:rsidR="00D316CF" w:rsidRDefault="00D316C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3EB041E" w:rsidR="0012405A" w:rsidRDefault="0012405A">
        <w:pPr>
          <w:pStyle w:val="Piedepgina"/>
          <w:jc w:val="right"/>
        </w:pPr>
        <w:r>
          <w:fldChar w:fldCharType="begin"/>
        </w:r>
        <w:r>
          <w:instrText>PAGE   \* MERGEFORMAT</w:instrText>
        </w:r>
        <w:r>
          <w:fldChar w:fldCharType="separate"/>
        </w:r>
        <w:r w:rsidR="00454C15" w:rsidRPr="00454C15">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1479E" w14:textId="77777777" w:rsidR="00D316CF" w:rsidRDefault="00D316CF" w:rsidP="00E00323">
      <w:pPr>
        <w:spacing w:after="0" w:line="240" w:lineRule="auto"/>
      </w:pPr>
      <w:r>
        <w:separator/>
      </w:r>
    </w:p>
  </w:footnote>
  <w:footnote w:type="continuationSeparator" w:id="0">
    <w:p w14:paraId="78A46CF3" w14:textId="77777777" w:rsidR="00D316CF" w:rsidRDefault="00D316C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26EF364C"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FB1302">
      <w:rPr>
        <w:b/>
        <w:bCs/>
        <w:color w:val="7030A0"/>
        <w:sz w:val="24"/>
        <w:szCs w:val="24"/>
      </w:rPr>
      <w:t>0</w:t>
    </w:r>
    <w:r w:rsidR="00EB5015">
      <w:rPr>
        <w:b/>
        <w:bCs/>
        <w:color w:val="7030A0"/>
        <w:sz w:val="24"/>
        <w:szCs w:val="24"/>
      </w:rPr>
      <w:t xml:space="preserve"> DE </w:t>
    </w:r>
    <w:r w:rsidR="00FB1302">
      <w:rPr>
        <w:b/>
        <w:bCs/>
        <w:color w:val="7030A0"/>
        <w:sz w:val="24"/>
        <w:szCs w:val="24"/>
      </w:rPr>
      <w:t>JUNI</w:t>
    </w:r>
    <w:r w:rsidR="00B521CA">
      <w:rPr>
        <w:b/>
        <w:bCs/>
        <w:color w:val="7030A0"/>
        <w:sz w:val="24"/>
        <w:szCs w:val="24"/>
      </w:rPr>
      <w:t>O</w:t>
    </w:r>
    <w:r w:rsidR="00EB5015">
      <w:rPr>
        <w:b/>
        <w:bCs/>
        <w:color w:val="7030A0"/>
        <w:sz w:val="24"/>
        <w:szCs w:val="24"/>
      </w:rPr>
      <w:t xml:space="preserve"> DE 202</w:t>
    </w:r>
    <w:r w:rsidR="00B521CA">
      <w:rPr>
        <w:b/>
        <w:bCs/>
        <w:color w:val="7030A0"/>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47C7D"/>
    <w:rsid w:val="00084EAE"/>
    <w:rsid w:val="00091CE6"/>
    <w:rsid w:val="000B7810"/>
    <w:rsid w:val="000C3365"/>
    <w:rsid w:val="000F3BC4"/>
    <w:rsid w:val="0012405A"/>
    <w:rsid w:val="001249F2"/>
    <w:rsid w:val="00154BA3"/>
    <w:rsid w:val="00196793"/>
    <w:rsid w:val="001973A2"/>
    <w:rsid w:val="001C75F2"/>
    <w:rsid w:val="001D2063"/>
    <w:rsid w:val="001D43E9"/>
    <w:rsid w:val="00231B0F"/>
    <w:rsid w:val="00232175"/>
    <w:rsid w:val="002430F2"/>
    <w:rsid w:val="002B39D8"/>
    <w:rsid w:val="003453CA"/>
    <w:rsid w:val="003615B0"/>
    <w:rsid w:val="003972C3"/>
    <w:rsid w:val="003F4551"/>
    <w:rsid w:val="00403E2A"/>
    <w:rsid w:val="00435A87"/>
    <w:rsid w:val="00454C15"/>
    <w:rsid w:val="00467943"/>
    <w:rsid w:val="004A58C8"/>
    <w:rsid w:val="004E2B2B"/>
    <w:rsid w:val="004F234D"/>
    <w:rsid w:val="0054701E"/>
    <w:rsid w:val="005B5531"/>
    <w:rsid w:val="005D2FBE"/>
    <w:rsid w:val="005D3E43"/>
    <w:rsid w:val="005E231E"/>
    <w:rsid w:val="006071BE"/>
    <w:rsid w:val="00657009"/>
    <w:rsid w:val="00681C79"/>
    <w:rsid w:val="007610BC"/>
    <w:rsid w:val="007714AB"/>
    <w:rsid w:val="007D1E76"/>
    <w:rsid w:val="007D4484"/>
    <w:rsid w:val="007D6D2F"/>
    <w:rsid w:val="00811A3B"/>
    <w:rsid w:val="0086459F"/>
    <w:rsid w:val="008B40EC"/>
    <w:rsid w:val="008C3BB8"/>
    <w:rsid w:val="008E076C"/>
    <w:rsid w:val="0090554C"/>
    <w:rsid w:val="0092765C"/>
    <w:rsid w:val="00985EA3"/>
    <w:rsid w:val="0099181A"/>
    <w:rsid w:val="009E2019"/>
    <w:rsid w:val="00A15D4F"/>
    <w:rsid w:val="00A30B9C"/>
    <w:rsid w:val="00A4610E"/>
    <w:rsid w:val="00A730E0"/>
    <w:rsid w:val="00AA41E5"/>
    <w:rsid w:val="00AA74B7"/>
    <w:rsid w:val="00AB722B"/>
    <w:rsid w:val="00AE1F6A"/>
    <w:rsid w:val="00B42CE1"/>
    <w:rsid w:val="00B521CA"/>
    <w:rsid w:val="00B82FE7"/>
    <w:rsid w:val="00BA2D16"/>
    <w:rsid w:val="00C1667F"/>
    <w:rsid w:val="00C542CB"/>
    <w:rsid w:val="00C95696"/>
    <w:rsid w:val="00C97E1E"/>
    <w:rsid w:val="00CB41C4"/>
    <w:rsid w:val="00CE3B46"/>
    <w:rsid w:val="00CF1316"/>
    <w:rsid w:val="00D13C44"/>
    <w:rsid w:val="00D316CF"/>
    <w:rsid w:val="00D40FC2"/>
    <w:rsid w:val="00D5018E"/>
    <w:rsid w:val="00D53FD7"/>
    <w:rsid w:val="00D54962"/>
    <w:rsid w:val="00D975B1"/>
    <w:rsid w:val="00E00323"/>
    <w:rsid w:val="00E30D47"/>
    <w:rsid w:val="00E74967"/>
    <w:rsid w:val="00E7559F"/>
    <w:rsid w:val="00EA37F5"/>
    <w:rsid w:val="00EA7915"/>
    <w:rsid w:val="00EB5015"/>
    <w:rsid w:val="00ED5897"/>
    <w:rsid w:val="00F33708"/>
    <w:rsid w:val="00F43321"/>
    <w:rsid w:val="00F46719"/>
    <w:rsid w:val="00F54F6F"/>
    <w:rsid w:val="00F6102D"/>
    <w:rsid w:val="00F65A92"/>
    <w:rsid w:val="00FA716E"/>
    <w:rsid w:val="00FB13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533211-E4DE-4143-A2F1-820D4454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Pages>
  <Words>2913</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18898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29</cp:revision>
  <dcterms:created xsi:type="dcterms:W3CDTF">2023-08-24T05:23:00Z</dcterms:created>
  <dcterms:modified xsi:type="dcterms:W3CDTF">2024-07-16T21:42:00Z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